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78" w:rsidRPr="003F065D" w:rsidRDefault="00FF7278" w:rsidP="003F065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F065D">
        <w:rPr>
          <w:rFonts w:ascii="Times New Roman" w:hAnsi="Times New Roman"/>
          <w:b/>
          <w:sz w:val="36"/>
          <w:szCs w:val="36"/>
        </w:rPr>
        <w:t>О тактике вакцинации</w:t>
      </w:r>
      <w:r w:rsidR="003F065D">
        <w:rPr>
          <w:rFonts w:ascii="Times New Roman" w:hAnsi="Times New Roman"/>
          <w:b/>
          <w:sz w:val="36"/>
          <w:szCs w:val="36"/>
        </w:rPr>
        <w:t>.</w:t>
      </w:r>
    </w:p>
    <w:p w:rsidR="00FF7278" w:rsidRDefault="00FF7278" w:rsidP="00FF727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F7278" w:rsidRDefault="00FF7278" w:rsidP="00FF727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Министерство здравоохранения Республики Беларусь в дополнение к ранее направленному письму от 04.01.2018 № 6-18/58 и с целью оптимальной разработки индивидуальных схем вакцинации детского населения предлагает обеспечить вакцинацию против коклюша, дифтерии, столбняка, гемофильной инфекции, вирусного гепатита</w:t>
      </w:r>
      <w:proofErr w:type="gramStart"/>
      <w:r>
        <w:rPr>
          <w:rFonts w:ascii="Times New Roman" w:hAnsi="Times New Roman"/>
          <w:sz w:val="30"/>
          <w:szCs w:val="30"/>
        </w:rPr>
        <w:t xml:space="preserve"> В</w:t>
      </w:r>
      <w:proofErr w:type="gramEnd"/>
      <w:r>
        <w:rPr>
          <w:rFonts w:ascii="Times New Roman" w:hAnsi="Times New Roman"/>
          <w:sz w:val="30"/>
          <w:szCs w:val="30"/>
        </w:rPr>
        <w:t xml:space="preserve"> и полиомиелита по следующим схемам:</w:t>
      </w:r>
    </w:p>
    <w:p w:rsidR="00FF7278" w:rsidRDefault="00FF7278" w:rsidP="00FF72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Детям, получившим вакцинацию-1 и вакцинацию-2 против вирусного гепатита</w:t>
      </w:r>
      <w:proofErr w:type="gramStart"/>
      <w:r>
        <w:rPr>
          <w:rFonts w:ascii="Times New Roman" w:hAnsi="Times New Roman"/>
          <w:sz w:val="30"/>
          <w:szCs w:val="30"/>
        </w:rPr>
        <w:t xml:space="preserve"> В</w:t>
      </w:r>
      <w:proofErr w:type="gramEnd"/>
      <w:r>
        <w:rPr>
          <w:rFonts w:ascii="Times New Roman" w:hAnsi="Times New Roman"/>
          <w:sz w:val="30"/>
          <w:szCs w:val="30"/>
        </w:rPr>
        <w:t xml:space="preserve"> с использованием моновакцин и не получившим вакцинацию против коклюша, дифтерии, столбняка и полиомиелита проводить:</w:t>
      </w:r>
    </w:p>
    <w:p w:rsidR="00FF7278" w:rsidRDefault="00FF7278" w:rsidP="00FF7278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вакцинацию-1 против коклюша, дифтерии и столбняка с использованием вакцины ЭУПЕНТА </w:t>
      </w:r>
      <w:r>
        <w:rPr>
          <w:rFonts w:ascii="Times New Roman" w:hAnsi="Times New Roman"/>
          <w:sz w:val="30"/>
          <w:szCs w:val="30"/>
          <w:vertAlign w:val="superscript"/>
        </w:rPr>
        <w:t>ТМ</w:t>
      </w:r>
      <w:r>
        <w:rPr>
          <w:rFonts w:ascii="Times New Roman" w:hAnsi="Times New Roman"/>
          <w:sz w:val="30"/>
          <w:szCs w:val="30"/>
        </w:rPr>
        <w:t xml:space="preserve"> (при этом ребенок получит вакцинацию-3 против вирусного гепатита</w:t>
      </w:r>
      <w:proofErr w:type="gramStart"/>
      <w:r>
        <w:rPr>
          <w:rFonts w:ascii="Times New Roman" w:hAnsi="Times New Roman"/>
          <w:sz w:val="30"/>
          <w:szCs w:val="30"/>
        </w:rPr>
        <w:t xml:space="preserve"> В</w:t>
      </w:r>
      <w:proofErr w:type="gramEnd"/>
      <w:r>
        <w:rPr>
          <w:rFonts w:ascii="Times New Roman" w:hAnsi="Times New Roman"/>
          <w:sz w:val="30"/>
          <w:szCs w:val="30"/>
        </w:rPr>
        <w:t xml:space="preserve"> и вакцинацию-1 против гемофильной инфекции) и вакцинацию-1 против полиомиелита с использованием инактивированной полиомиелитной вакцины;</w:t>
      </w:r>
    </w:p>
    <w:p w:rsidR="00FF7278" w:rsidRDefault="00FF7278" w:rsidP="00FF7278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вакцинацию-2 против коклюша, дифтерии и столбняка с использованием вакцины ЭУПЕНТА </w:t>
      </w:r>
      <w:r>
        <w:rPr>
          <w:rFonts w:ascii="Times New Roman" w:hAnsi="Times New Roman"/>
          <w:sz w:val="30"/>
          <w:szCs w:val="30"/>
          <w:vertAlign w:val="superscript"/>
        </w:rPr>
        <w:t>ТМ</w:t>
      </w:r>
      <w:r>
        <w:rPr>
          <w:rFonts w:ascii="Times New Roman" w:hAnsi="Times New Roman"/>
          <w:sz w:val="30"/>
          <w:szCs w:val="30"/>
        </w:rPr>
        <w:t xml:space="preserve"> (при этом ребенок получит</w:t>
      </w:r>
      <w:proofErr w:type="gramEnd"/>
      <w:r>
        <w:rPr>
          <w:rFonts w:ascii="Times New Roman" w:hAnsi="Times New Roman"/>
          <w:sz w:val="30"/>
          <w:szCs w:val="30"/>
        </w:rPr>
        <w:t xml:space="preserve"> вакцинацию-4 против вирусного гепатита</w:t>
      </w:r>
      <w:proofErr w:type="gramStart"/>
      <w:r>
        <w:rPr>
          <w:rFonts w:ascii="Times New Roman" w:hAnsi="Times New Roman"/>
          <w:sz w:val="30"/>
          <w:szCs w:val="30"/>
        </w:rPr>
        <w:t xml:space="preserve"> В</w:t>
      </w:r>
      <w:proofErr w:type="gramEnd"/>
      <w:r>
        <w:rPr>
          <w:rFonts w:ascii="Times New Roman" w:hAnsi="Times New Roman"/>
          <w:sz w:val="30"/>
          <w:szCs w:val="30"/>
        </w:rPr>
        <w:t xml:space="preserve"> и вакцинацию-2 против гемофильной инфекции) и вакцинацию-2 против полиомиелита с использованием инактивированной полиомиелитной вакцины;</w:t>
      </w:r>
    </w:p>
    <w:p w:rsidR="00FF7278" w:rsidRDefault="00FF7278" w:rsidP="00FF7278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вакцинацию-3 против коклюша, дифтерии и столбняка с использованием вакцины АКДС и вакцинацию-3 против полиомиелита с использованием инактивированной полиомиелитной вакцины;</w:t>
      </w:r>
    </w:p>
    <w:p w:rsidR="00FF7278" w:rsidRDefault="00FF7278" w:rsidP="00FF72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Детям, получившим вакцинацию-1, вакцинацию-2 и вакцинацию-3 против вирусного гепатита</w:t>
      </w:r>
      <w:proofErr w:type="gramStart"/>
      <w:r>
        <w:rPr>
          <w:rFonts w:ascii="Times New Roman" w:hAnsi="Times New Roman"/>
          <w:sz w:val="30"/>
          <w:szCs w:val="30"/>
        </w:rPr>
        <w:t xml:space="preserve"> В</w:t>
      </w:r>
      <w:proofErr w:type="gramEnd"/>
      <w:r>
        <w:rPr>
          <w:rFonts w:ascii="Times New Roman" w:hAnsi="Times New Roman"/>
          <w:sz w:val="30"/>
          <w:szCs w:val="30"/>
        </w:rPr>
        <w:t xml:space="preserve"> с использованием моновакцин и не получившим вакцинацию против коклюша, дифтерии, столбняка и полиомиелита проводить:</w:t>
      </w:r>
    </w:p>
    <w:p w:rsidR="00FF7278" w:rsidRDefault="00FF7278" w:rsidP="00FF7278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вакцинацию-1 против коклюша, дифтерии и столбняка с использованием вакцины ЭУПЕНТА </w:t>
      </w:r>
      <w:r>
        <w:rPr>
          <w:rFonts w:ascii="Times New Roman" w:hAnsi="Times New Roman"/>
          <w:sz w:val="30"/>
          <w:szCs w:val="30"/>
          <w:vertAlign w:val="superscript"/>
        </w:rPr>
        <w:t>ТМ</w:t>
      </w:r>
      <w:r>
        <w:rPr>
          <w:rFonts w:ascii="Times New Roman" w:hAnsi="Times New Roman"/>
          <w:sz w:val="30"/>
          <w:szCs w:val="30"/>
        </w:rPr>
        <w:t xml:space="preserve"> (при этом ребенок получит вакцинацию-4 против вирусного гепатита</w:t>
      </w:r>
      <w:proofErr w:type="gramStart"/>
      <w:r>
        <w:rPr>
          <w:rFonts w:ascii="Times New Roman" w:hAnsi="Times New Roman"/>
          <w:sz w:val="30"/>
          <w:szCs w:val="30"/>
        </w:rPr>
        <w:t xml:space="preserve"> В</w:t>
      </w:r>
      <w:proofErr w:type="gramEnd"/>
      <w:r>
        <w:rPr>
          <w:rFonts w:ascii="Times New Roman" w:hAnsi="Times New Roman"/>
          <w:sz w:val="30"/>
          <w:szCs w:val="30"/>
        </w:rPr>
        <w:t xml:space="preserve"> и вакцинацию-1 против гемофильной инфекции) и вакцинацию-1 против полиомиелита с использованием инактивированной полиомиелитной вакцины;</w:t>
      </w:r>
    </w:p>
    <w:p w:rsidR="00FF7278" w:rsidRDefault="00FF7278" w:rsidP="00FF7278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вакцинацию-2 против коклюша, дифтерии и столбняка с использованием вакцины АКДС и вакцинацию-2 против полиомиелита с использованием инактивированной полиомиелитной вакцины;</w:t>
      </w:r>
    </w:p>
    <w:p w:rsidR="00FF7278" w:rsidRDefault="00FF7278" w:rsidP="00FF7278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вакцинацию-3 против коклюша, дифтерии и столбняка с использованием вакцины АКДС и вакцинацию-3 против полиомиелита с использованием инактивированной полиомиелитной вакцины.</w:t>
      </w:r>
    </w:p>
    <w:p w:rsidR="00FF7278" w:rsidRDefault="00FF7278" w:rsidP="00FF727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iCs/>
          <w:sz w:val="30"/>
          <w:szCs w:val="30"/>
        </w:rPr>
        <w:t>С целью формирования полноценной защиты против гемофильной инфекции вакцинацию 1 и (или) 2, начатую вакциной ЭУПЕНТА</w:t>
      </w:r>
      <w:r>
        <w:rPr>
          <w:rFonts w:ascii="Times New Roman" w:hAnsi="Times New Roman"/>
          <w:bCs/>
          <w:iCs/>
          <w:sz w:val="30"/>
          <w:szCs w:val="30"/>
          <w:vertAlign w:val="superscript"/>
        </w:rPr>
        <w:t>ТМ</w:t>
      </w:r>
      <w:proofErr w:type="gramStart"/>
      <w:r>
        <w:rPr>
          <w:rFonts w:ascii="Times New Roman" w:hAnsi="Times New Roman"/>
          <w:bCs/>
          <w:iCs/>
          <w:sz w:val="30"/>
          <w:szCs w:val="30"/>
        </w:rPr>
        <w:t xml:space="preserve"> ,</w:t>
      </w:r>
      <w:proofErr w:type="gramEnd"/>
      <w:r>
        <w:rPr>
          <w:rFonts w:ascii="Times New Roman" w:hAnsi="Times New Roman"/>
          <w:bCs/>
          <w:iCs/>
          <w:sz w:val="30"/>
          <w:szCs w:val="30"/>
        </w:rPr>
        <w:t xml:space="preserve"> </w:t>
      </w:r>
      <w:r>
        <w:rPr>
          <w:rFonts w:ascii="Times New Roman" w:hAnsi="Times New Roman"/>
          <w:bCs/>
          <w:iCs/>
          <w:sz w:val="30"/>
          <w:szCs w:val="30"/>
        </w:rPr>
        <w:lastRenderedPageBreak/>
        <w:t xml:space="preserve">целесообразно завершить с использованием </w:t>
      </w:r>
      <w:proofErr w:type="spellStart"/>
      <w:r>
        <w:rPr>
          <w:rFonts w:ascii="Times New Roman" w:hAnsi="Times New Roman"/>
          <w:bCs/>
          <w:iCs/>
          <w:sz w:val="30"/>
          <w:szCs w:val="30"/>
        </w:rPr>
        <w:t>монокомпонентной</w:t>
      </w:r>
      <w:proofErr w:type="spellEnd"/>
      <w:r>
        <w:rPr>
          <w:rFonts w:ascii="Times New Roman" w:hAnsi="Times New Roman"/>
          <w:bCs/>
          <w:iCs/>
          <w:sz w:val="30"/>
          <w:szCs w:val="30"/>
        </w:rPr>
        <w:t xml:space="preserve"> вакцины против гемофильной инфекции (при наличии иммунобиологического лекарственного средства против данного инфекционного заболевания).</w:t>
      </w:r>
    </w:p>
    <w:p w:rsidR="00FF7278" w:rsidRDefault="00FF7278" w:rsidP="00FF727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Вышеуказанная тактика вакцинации рассмотрена на заседании экспертного совета по иммунизации Министерства здравоохранения Республики Беларусь 24.01.2018 г. и одобрена его членами.</w:t>
      </w:r>
    </w:p>
    <w:p w:rsidR="00167326" w:rsidRPr="00DF60E4" w:rsidRDefault="00167326" w:rsidP="00DF6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326" w:rsidRPr="00DF60E4" w:rsidRDefault="00167326" w:rsidP="00DF6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7326" w:rsidRPr="00DF60E4" w:rsidSect="005C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5B2"/>
    <w:multiLevelType w:val="multilevel"/>
    <w:tmpl w:val="8B6C3C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326"/>
    <w:rsid w:val="00167326"/>
    <w:rsid w:val="003F065D"/>
    <w:rsid w:val="005C615D"/>
    <w:rsid w:val="006F61EC"/>
    <w:rsid w:val="009B2FFA"/>
    <w:rsid w:val="00A54957"/>
    <w:rsid w:val="00D473D3"/>
    <w:rsid w:val="00DF60E4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727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11</cp:revision>
  <cp:lastPrinted>2018-02-27T11:44:00Z</cp:lastPrinted>
  <dcterms:created xsi:type="dcterms:W3CDTF">2018-02-26T06:42:00Z</dcterms:created>
  <dcterms:modified xsi:type="dcterms:W3CDTF">2018-02-27T11:45:00Z</dcterms:modified>
</cp:coreProperties>
</file>