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D0" w:rsidRDefault="00404017" w:rsidP="00404017">
      <w:pPr>
        <w:jc w:val="both"/>
        <w:rPr>
          <w:sz w:val="28"/>
          <w:szCs w:val="28"/>
        </w:rPr>
      </w:pPr>
      <w:bookmarkStart w:id="0" w:name="_GoBack"/>
      <w:r w:rsidRPr="00404017">
        <w:rPr>
          <w:b/>
          <w:sz w:val="28"/>
          <w:szCs w:val="28"/>
        </w:rPr>
        <w:t xml:space="preserve">О </w:t>
      </w:r>
      <w:r w:rsidR="004B7BD0" w:rsidRPr="00404017">
        <w:rPr>
          <w:b/>
          <w:sz w:val="28"/>
          <w:szCs w:val="28"/>
        </w:rPr>
        <w:t xml:space="preserve"> продукции, несоответствующей требованиям санитарно-эпидемиологического законодательства, выявленной в ходе осуществления государственного санитарного надзора за период с 02.06.2016 по 24.06.2016 года</w:t>
      </w:r>
      <w:bookmarkEnd w:id="0"/>
      <w:r w:rsidR="004B7BD0">
        <w:rPr>
          <w:sz w:val="28"/>
          <w:szCs w:val="28"/>
        </w:rPr>
        <w:t>.</w:t>
      </w:r>
    </w:p>
    <w:p w:rsidR="004B7BD0" w:rsidRDefault="004B7BD0" w:rsidP="004B7BD0">
      <w:pPr>
        <w:ind w:firstLine="708"/>
        <w:jc w:val="both"/>
        <w:rPr>
          <w:sz w:val="28"/>
          <w:szCs w:val="28"/>
        </w:rPr>
      </w:pPr>
    </w:p>
    <w:tbl>
      <w:tblPr>
        <w:tblpPr w:leftFromText="180" w:rightFromText="180" w:vertAnchor="text" w:horzAnchor="margin" w:tblpY="105"/>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965"/>
        <w:gridCol w:w="2936"/>
        <w:gridCol w:w="1663"/>
        <w:gridCol w:w="4439"/>
        <w:gridCol w:w="2223"/>
        <w:gridCol w:w="1798"/>
      </w:tblGrid>
      <w:tr w:rsidR="003F4073" w:rsidRPr="00404017" w:rsidTr="003F4073">
        <w:trPr>
          <w:trHeight w:val="141"/>
        </w:trPr>
        <w:tc>
          <w:tcPr>
            <w:tcW w:w="594" w:type="dxa"/>
          </w:tcPr>
          <w:p w:rsidR="003F4073" w:rsidRPr="00404017" w:rsidRDefault="003F4073" w:rsidP="00404017">
            <w:pPr>
              <w:jc w:val="center"/>
              <w:rPr>
                <w:sz w:val="28"/>
                <w:szCs w:val="28"/>
              </w:rPr>
            </w:pPr>
            <w:r w:rsidRPr="00404017">
              <w:rPr>
                <w:sz w:val="28"/>
                <w:szCs w:val="28"/>
              </w:rPr>
              <w:t>№</w:t>
            </w:r>
          </w:p>
          <w:p w:rsidR="003F4073" w:rsidRPr="00404017" w:rsidRDefault="003F4073" w:rsidP="00404017">
            <w:pPr>
              <w:jc w:val="center"/>
              <w:rPr>
                <w:sz w:val="28"/>
                <w:szCs w:val="28"/>
              </w:rPr>
            </w:pPr>
            <w:proofErr w:type="gramStart"/>
            <w:r w:rsidRPr="00404017">
              <w:rPr>
                <w:sz w:val="28"/>
                <w:szCs w:val="28"/>
              </w:rPr>
              <w:t>п</w:t>
            </w:r>
            <w:proofErr w:type="gramEnd"/>
            <w:r w:rsidRPr="00404017">
              <w:rPr>
                <w:sz w:val="28"/>
                <w:szCs w:val="28"/>
              </w:rPr>
              <w:t>/п</w:t>
            </w:r>
          </w:p>
        </w:tc>
        <w:tc>
          <w:tcPr>
            <w:tcW w:w="1965" w:type="dxa"/>
          </w:tcPr>
          <w:p w:rsidR="003F4073" w:rsidRPr="00404017" w:rsidRDefault="003F4073" w:rsidP="00404017">
            <w:pPr>
              <w:jc w:val="center"/>
              <w:rPr>
                <w:sz w:val="28"/>
                <w:szCs w:val="28"/>
              </w:rPr>
            </w:pPr>
            <w:r w:rsidRPr="00404017">
              <w:rPr>
                <w:sz w:val="28"/>
                <w:szCs w:val="28"/>
              </w:rPr>
              <w:t>Наименование</w:t>
            </w:r>
          </w:p>
          <w:p w:rsidR="003F4073" w:rsidRPr="00404017" w:rsidRDefault="003F4073" w:rsidP="00404017">
            <w:pPr>
              <w:jc w:val="center"/>
              <w:rPr>
                <w:sz w:val="28"/>
                <w:szCs w:val="28"/>
              </w:rPr>
            </w:pPr>
            <w:r w:rsidRPr="00404017">
              <w:rPr>
                <w:sz w:val="28"/>
                <w:szCs w:val="28"/>
              </w:rPr>
              <w:t>продукции,</w:t>
            </w:r>
          </w:p>
          <w:p w:rsidR="003F4073" w:rsidRPr="00404017" w:rsidRDefault="003F4073" w:rsidP="00404017">
            <w:pPr>
              <w:jc w:val="center"/>
              <w:rPr>
                <w:sz w:val="28"/>
                <w:szCs w:val="28"/>
              </w:rPr>
            </w:pPr>
            <w:r w:rsidRPr="00404017">
              <w:rPr>
                <w:sz w:val="28"/>
                <w:szCs w:val="28"/>
              </w:rPr>
              <w:t>сроки</w:t>
            </w:r>
          </w:p>
          <w:p w:rsidR="003F4073" w:rsidRPr="00404017" w:rsidRDefault="003F4073" w:rsidP="00404017">
            <w:pPr>
              <w:jc w:val="center"/>
              <w:rPr>
                <w:sz w:val="28"/>
                <w:szCs w:val="28"/>
              </w:rPr>
            </w:pPr>
            <w:r w:rsidRPr="00404017">
              <w:rPr>
                <w:sz w:val="28"/>
                <w:szCs w:val="28"/>
              </w:rPr>
              <w:t>годности</w:t>
            </w:r>
          </w:p>
        </w:tc>
        <w:tc>
          <w:tcPr>
            <w:tcW w:w="2936" w:type="dxa"/>
          </w:tcPr>
          <w:p w:rsidR="003F4073" w:rsidRPr="00404017" w:rsidRDefault="003F4073" w:rsidP="00404017">
            <w:pPr>
              <w:pStyle w:val="1"/>
              <w:shd w:val="clear" w:color="auto" w:fill="auto"/>
              <w:spacing w:after="60" w:line="240" w:lineRule="auto"/>
              <w:jc w:val="center"/>
              <w:rPr>
                <w:sz w:val="28"/>
                <w:szCs w:val="28"/>
              </w:rPr>
            </w:pPr>
            <w:r w:rsidRPr="00404017">
              <w:rPr>
                <w:rStyle w:val="10pt0pt"/>
                <w:sz w:val="28"/>
                <w:szCs w:val="28"/>
              </w:rPr>
              <w:t>Производитель,</w:t>
            </w:r>
          </w:p>
          <w:p w:rsidR="003F4073" w:rsidRPr="00404017" w:rsidRDefault="003F4073" w:rsidP="00404017">
            <w:pPr>
              <w:jc w:val="center"/>
              <w:rPr>
                <w:sz w:val="28"/>
                <w:szCs w:val="28"/>
              </w:rPr>
            </w:pPr>
            <w:r w:rsidRPr="00404017">
              <w:rPr>
                <w:rStyle w:val="115pt0pt"/>
                <w:sz w:val="28"/>
                <w:szCs w:val="28"/>
              </w:rPr>
              <w:t>импортер</w:t>
            </w:r>
          </w:p>
        </w:tc>
        <w:tc>
          <w:tcPr>
            <w:tcW w:w="1663" w:type="dxa"/>
          </w:tcPr>
          <w:p w:rsidR="003F4073" w:rsidRPr="00404017" w:rsidRDefault="003F4073" w:rsidP="00404017">
            <w:pPr>
              <w:jc w:val="center"/>
              <w:rPr>
                <w:sz w:val="28"/>
                <w:szCs w:val="28"/>
              </w:rPr>
            </w:pPr>
            <w:r w:rsidRPr="00404017">
              <w:rPr>
                <w:rStyle w:val="115pt0pt"/>
                <w:sz w:val="28"/>
                <w:szCs w:val="28"/>
              </w:rPr>
              <w:t>Адрес и наименование объекта, на котором запрещена реализация продукции</w:t>
            </w:r>
          </w:p>
        </w:tc>
        <w:tc>
          <w:tcPr>
            <w:tcW w:w="4439" w:type="dxa"/>
          </w:tcPr>
          <w:p w:rsidR="003F4073" w:rsidRPr="00404017" w:rsidRDefault="003F4073" w:rsidP="00404017">
            <w:pPr>
              <w:jc w:val="center"/>
              <w:rPr>
                <w:sz w:val="28"/>
                <w:szCs w:val="28"/>
              </w:rPr>
            </w:pPr>
            <w:r w:rsidRPr="00404017">
              <w:rPr>
                <w:rStyle w:val="115pt0pt"/>
                <w:sz w:val="28"/>
                <w:szCs w:val="28"/>
              </w:rPr>
              <w:t>Суть установленных несоответствий, включая ТИПА и показатели, по которым продукция не соответствовала установленным требованиям по результатам лабораторных исследований</w:t>
            </w:r>
          </w:p>
        </w:tc>
        <w:tc>
          <w:tcPr>
            <w:tcW w:w="2223" w:type="dxa"/>
          </w:tcPr>
          <w:p w:rsidR="003F4073" w:rsidRPr="00404017" w:rsidRDefault="003F4073" w:rsidP="00404017">
            <w:pPr>
              <w:ind w:right="-146"/>
              <w:jc w:val="center"/>
              <w:rPr>
                <w:sz w:val="28"/>
                <w:szCs w:val="28"/>
              </w:rPr>
            </w:pPr>
            <w:r w:rsidRPr="00404017">
              <w:rPr>
                <w:rStyle w:val="115pt0pt"/>
                <w:sz w:val="28"/>
                <w:szCs w:val="28"/>
              </w:rPr>
              <w:t>Наименование документа о соответствии товара установленным требованиям, дата выдачи, номер, кем выдан (зарегистрирован)</w:t>
            </w:r>
          </w:p>
        </w:tc>
        <w:tc>
          <w:tcPr>
            <w:tcW w:w="1798" w:type="dxa"/>
          </w:tcPr>
          <w:p w:rsidR="003F4073" w:rsidRPr="00404017" w:rsidRDefault="003F4073" w:rsidP="00404017">
            <w:pPr>
              <w:ind w:left="-70"/>
              <w:jc w:val="center"/>
              <w:rPr>
                <w:rStyle w:val="115pt0pt"/>
                <w:sz w:val="28"/>
                <w:szCs w:val="28"/>
              </w:rPr>
            </w:pPr>
            <w:r w:rsidRPr="00404017">
              <w:rPr>
                <w:rStyle w:val="115pt0pt"/>
                <w:sz w:val="28"/>
                <w:szCs w:val="28"/>
              </w:rPr>
              <w:t>Наименование</w:t>
            </w:r>
          </w:p>
          <w:p w:rsidR="003F4073" w:rsidRPr="00404017" w:rsidRDefault="003F4073" w:rsidP="00404017">
            <w:pPr>
              <w:jc w:val="center"/>
              <w:rPr>
                <w:sz w:val="28"/>
                <w:szCs w:val="28"/>
              </w:rPr>
            </w:pPr>
            <w:r w:rsidRPr="00404017">
              <w:rPr>
                <w:rStyle w:val="115pt0pt"/>
                <w:sz w:val="28"/>
                <w:szCs w:val="28"/>
              </w:rPr>
              <w:t>ЦГЭ</w:t>
            </w:r>
          </w:p>
        </w:tc>
      </w:tr>
      <w:tr w:rsidR="003F4073" w:rsidRPr="00404017" w:rsidTr="003F4073">
        <w:trPr>
          <w:trHeight w:val="141"/>
        </w:trPr>
        <w:tc>
          <w:tcPr>
            <w:tcW w:w="594" w:type="dxa"/>
          </w:tcPr>
          <w:p w:rsidR="003F4073" w:rsidRPr="00404017" w:rsidRDefault="003F4073" w:rsidP="00404017">
            <w:pPr>
              <w:jc w:val="right"/>
              <w:rPr>
                <w:sz w:val="28"/>
                <w:szCs w:val="28"/>
              </w:rPr>
            </w:pPr>
            <w:r w:rsidRPr="00404017">
              <w:rPr>
                <w:sz w:val="28"/>
                <w:szCs w:val="28"/>
              </w:rPr>
              <w:t>1</w:t>
            </w:r>
          </w:p>
        </w:tc>
        <w:tc>
          <w:tcPr>
            <w:tcW w:w="1965" w:type="dxa"/>
          </w:tcPr>
          <w:p w:rsidR="003F4073" w:rsidRPr="00404017" w:rsidRDefault="003F4073" w:rsidP="00404017">
            <w:pPr>
              <w:jc w:val="both"/>
              <w:rPr>
                <w:sz w:val="28"/>
                <w:szCs w:val="28"/>
              </w:rPr>
            </w:pPr>
            <w:r w:rsidRPr="00404017">
              <w:rPr>
                <w:sz w:val="28"/>
                <w:szCs w:val="28"/>
              </w:rPr>
              <w:t>Линолеум из ПВХ, торговой марки «Парма» «Тверь», ширина 1,5 м, дата изготовления 15.01.2016, ш/к 4607147167502</w:t>
            </w:r>
          </w:p>
        </w:tc>
        <w:tc>
          <w:tcPr>
            <w:tcW w:w="2936" w:type="dxa"/>
          </w:tcPr>
          <w:p w:rsidR="003F4073" w:rsidRPr="00404017" w:rsidRDefault="003F4073" w:rsidP="00404017">
            <w:pPr>
              <w:pStyle w:val="1"/>
              <w:shd w:val="clear" w:color="auto" w:fill="auto"/>
              <w:spacing w:after="60" w:line="240" w:lineRule="auto"/>
              <w:jc w:val="both"/>
              <w:rPr>
                <w:rStyle w:val="10pt0pt"/>
                <w:sz w:val="28"/>
                <w:szCs w:val="28"/>
              </w:rPr>
            </w:pPr>
            <w:r w:rsidRPr="00404017">
              <w:rPr>
                <w:rStyle w:val="10pt0pt"/>
                <w:sz w:val="28"/>
                <w:szCs w:val="28"/>
              </w:rPr>
              <w:t>Изготовитель: ООО «</w:t>
            </w:r>
            <w:proofErr w:type="spellStart"/>
            <w:r w:rsidRPr="00404017">
              <w:rPr>
                <w:rStyle w:val="10pt0pt"/>
                <w:sz w:val="28"/>
                <w:szCs w:val="28"/>
              </w:rPr>
              <w:t>Косметикс</w:t>
            </w:r>
            <w:proofErr w:type="spellEnd"/>
            <w:r w:rsidRPr="00404017">
              <w:rPr>
                <w:rStyle w:val="10pt0pt"/>
                <w:sz w:val="28"/>
                <w:szCs w:val="28"/>
              </w:rPr>
              <w:t xml:space="preserve"> ЛИН», Россия, 167981, Республика Коми, г</w:t>
            </w:r>
            <w:proofErr w:type="gramStart"/>
            <w:r w:rsidRPr="00404017">
              <w:rPr>
                <w:rStyle w:val="10pt0pt"/>
                <w:sz w:val="28"/>
                <w:szCs w:val="28"/>
              </w:rPr>
              <w:t>.С</w:t>
            </w:r>
            <w:proofErr w:type="gramEnd"/>
            <w:r w:rsidRPr="00404017">
              <w:rPr>
                <w:rStyle w:val="10pt0pt"/>
                <w:sz w:val="28"/>
                <w:szCs w:val="28"/>
              </w:rPr>
              <w:t>ыктывкар, ул.2-ая Промышленная,10, импортер в РБ: ООО «</w:t>
            </w:r>
            <w:proofErr w:type="spellStart"/>
            <w:r w:rsidRPr="00404017">
              <w:rPr>
                <w:rStyle w:val="10pt0pt"/>
                <w:sz w:val="28"/>
                <w:szCs w:val="28"/>
              </w:rPr>
              <w:t>Сантрэйд-Сервич</w:t>
            </w:r>
            <w:proofErr w:type="spellEnd"/>
            <w:r w:rsidRPr="00404017">
              <w:rPr>
                <w:rStyle w:val="10pt0pt"/>
                <w:sz w:val="28"/>
                <w:szCs w:val="28"/>
              </w:rPr>
              <w:t>», Минская область, Минский район, аг</w:t>
            </w:r>
            <w:proofErr w:type="gramStart"/>
            <w:r w:rsidRPr="00404017">
              <w:rPr>
                <w:rStyle w:val="10pt0pt"/>
                <w:sz w:val="28"/>
                <w:szCs w:val="28"/>
              </w:rPr>
              <w:t>.Б</w:t>
            </w:r>
            <w:proofErr w:type="gramEnd"/>
            <w:r w:rsidRPr="00404017">
              <w:rPr>
                <w:rStyle w:val="10pt0pt"/>
                <w:sz w:val="28"/>
                <w:szCs w:val="28"/>
              </w:rPr>
              <w:t>ольшевик,зд.АБК,к.35</w:t>
            </w:r>
          </w:p>
        </w:tc>
        <w:tc>
          <w:tcPr>
            <w:tcW w:w="1663" w:type="dxa"/>
          </w:tcPr>
          <w:p w:rsidR="003F4073" w:rsidRPr="00404017" w:rsidRDefault="003F4073" w:rsidP="00404017">
            <w:pPr>
              <w:jc w:val="both"/>
              <w:rPr>
                <w:rStyle w:val="115pt0pt"/>
                <w:sz w:val="28"/>
                <w:szCs w:val="28"/>
              </w:rPr>
            </w:pPr>
            <w:r w:rsidRPr="00404017">
              <w:rPr>
                <w:rStyle w:val="115pt0pt"/>
                <w:sz w:val="28"/>
                <w:szCs w:val="28"/>
              </w:rPr>
              <w:t xml:space="preserve">ОДО «Данком» </w:t>
            </w:r>
            <w:proofErr w:type="spellStart"/>
            <w:r w:rsidRPr="00404017">
              <w:rPr>
                <w:rStyle w:val="115pt0pt"/>
                <w:sz w:val="28"/>
                <w:szCs w:val="28"/>
              </w:rPr>
              <w:t>г</w:t>
            </w:r>
            <w:proofErr w:type="gramStart"/>
            <w:r w:rsidRPr="00404017">
              <w:rPr>
                <w:rStyle w:val="115pt0pt"/>
                <w:sz w:val="28"/>
                <w:szCs w:val="28"/>
              </w:rPr>
              <w:t>.О</w:t>
            </w:r>
            <w:proofErr w:type="gramEnd"/>
            <w:r w:rsidRPr="00404017">
              <w:rPr>
                <w:rStyle w:val="115pt0pt"/>
                <w:sz w:val="28"/>
                <w:szCs w:val="28"/>
              </w:rPr>
              <w:t>рша</w:t>
            </w:r>
            <w:proofErr w:type="spellEnd"/>
            <w:r w:rsidRPr="00404017">
              <w:rPr>
                <w:rStyle w:val="115pt0pt"/>
                <w:sz w:val="28"/>
                <w:szCs w:val="28"/>
              </w:rPr>
              <w:t>, ул.Ленина,75</w:t>
            </w:r>
          </w:p>
        </w:tc>
        <w:tc>
          <w:tcPr>
            <w:tcW w:w="4439" w:type="dxa"/>
          </w:tcPr>
          <w:p w:rsidR="003F4073" w:rsidRPr="00404017" w:rsidRDefault="003F4073" w:rsidP="00404017">
            <w:pPr>
              <w:jc w:val="both"/>
              <w:rPr>
                <w:rStyle w:val="115pt0pt"/>
                <w:sz w:val="28"/>
                <w:szCs w:val="28"/>
              </w:rPr>
            </w:pPr>
            <w:r w:rsidRPr="00404017">
              <w:rPr>
                <w:rStyle w:val="115pt0pt"/>
                <w:sz w:val="28"/>
                <w:szCs w:val="28"/>
              </w:rPr>
              <w:t>Не соответствует требованиям Единых санитарно-эпидемиологических и гигиенических требований к товарам, подлежащим санитарно-эпидемиологическому и гигиеническому надзору (контролю), утвержденных Решением Комиссии Таможенного союза от 28.05.2010 №229, Глава 2, раздел 6 по содержанию формальдегида.</w:t>
            </w:r>
          </w:p>
        </w:tc>
        <w:tc>
          <w:tcPr>
            <w:tcW w:w="2223" w:type="dxa"/>
          </w:tcPr>
          <w:p w:rsidR="003F4073" w:rsidRPr="00404017" w:rsidRDefault="003F4073" w:rsidP="00404017">
            <w:pPr>
              <w:jc w:val="both"/>
              <w:rPr>
                <w:rStyle w:val="115pt0pt"/>
                <w:sz w:val="28"/>
                <w:szCs w:val="28"/>
              </w:rPr>
            </w:pPr>
            <w:r w:rsidRPr="00404017">
              <w:rPr>
                <w:rStyle w:val="115pt0pt"/>
                <w:sz w:val="28"/>
                <w:szCs w:val="28"/>
              </w:rPr>
              <w:t>-</w:t>
            </w:r>
          </w:p>
        </w:tc>
        <w:tc>
          <w:tcPr>
            <w:tcW w:w="1798" w:type="dxa"/>
          </w:tcPr>
          <w:p w:rsidR="003F4073" w:rsidRPr="00404017" w:rsidRDefault="003F4073" w:rsidP="00404017">
            <w:pPr>
              <w:ind w:right="-153"/>
              <w:jc w:val="both"/>
              <w:rPr>
                <w:rStyle w:val="115pt0pt"/>
                <w:sz w:val="28"/>
                <w:szCs w:val="28"/>
              </w:rPr>
            </w:pPr>
            <w:r w:rsidRPr="00404017">
              <w:rPr>
                <w:rStyle w:val="115pt0pt"/>
                <w:sz w:val="28"/>
                <w:szCs w:val="28"/>
              </w:rPr>
              <w:t>Государственное  учреждение</w:t>
            </w:r>
          </w:p>
          <w:p w:rsidR="003F4073" w:rsidRPr="00404017" w:rsidRDefault="003F4073" w:rsidP="00404017">
            <w:pPr>
              <w:jc w:val="both"/>
              <w:rPr>
                <w:rStyle w:val="115pt0pt"/>
                <w:sz w:val="28"/>
                <w:szCs w:val="28"/>
              </w:rPr>
            </w:pPr>
            <w:r w:rsidRPr="00404017">
              <w:rPr>
                <w:rStyle w:val="115pt0pt"/>
                <w:sz w:val="28"/>
                <w:szCs w:val="28"/>
              </w:rPr>
              <w:t xml:space="preserve"> </w:t>
            </w:r>
            <w:proofErr w:type="gramStart"/>
            <w:r w:rsidRPr="00404017">
              <w:rPr>
                <w:rStyle w:val="115pt0pt"/>
                <w:sz w:val="28"/>
                <w:szCs w:val="28"/>
              </w:rPr>
              <w:t xml:space="preserve">«Оршанский зональный </w:t>
            </w:r>
            <w:proofErr w:type="gramEnd"/>
          </w:p>
          <w:p w:rsidR="003F4073" w:rsidRPr="00404017" w:rsidRDefault="003F4073" w:rsidP="00404017">
            <w:pPr>
              <w:jc w:val="both"/>
              <w:rPr>
                <w:rStyle w:val="115pt0pt"/>
                <w:sz w:val="28"/>
                <w:szCs w:val="28"/>
              </w:rPr>
            </w:pPr>
            <w:r w:rsidRPr="00404017">
              <w:rPr>
                <w:rStyle w:val="115pt0pt"/>
                <w:sz w:val="28"/>
                <w:szCs w:val="28"/>
              </w:rPr>
              <w:t>центр гигиены и эпидемиологии»</w:t>
            </w:r>
          </w:p>
        </w:tc>
      </w:tr>
      <w:tr w:rsidR="003F4073" w:rsidRPr="00404017" w:rsidTr="003F4073">
        <w:trPr>
          <w:trHeight w:val="141"/>
        </w:trPr>
        <w:tc>
          <w:tcPr>
            <w:tcW w:w="594" w:type="dxa"/>
          </w:tcPr>
          <w:p w:rsidR="003F4073" w:rsidRPr="00404017" w:rsidRDefault="003F4073" w:rsidP="00404017">
            <w:pPr>
              <w:jc w:val="right"/>
              <w:rPr>
                <w:sz w:val="28"/>
                <w:szCs w:val="28"/>
              </w:rPr>
            </w:pPr>
            <w:r w:rsidRPr="00404017">
              <w:rPr>
                <w:sz w:val="28"/>
                <w:szCs w:val="28"/>
              </w:rPr>
              <w:t>2</w:t>
            </w:r>
          </w:p>
        </w:tc>
        <w:tc>
          <w:tcPr>
            <w:tcW w:w="1965" w:type="dxa"/>
          </w:tcPr>
          <w:p w:rsidR="003F4073" w:rsidRPr="00404017" w:rsidRDefault="003F4073" w:rsidP="00404017">
            <w:pPr>
              <w:jc w:val="both"/>
              <w:rPr>
                <w:sz w:val="28"/>
                <w:szCs w:val="28"/>
              </w:rPr>
            </w:pPr>
            <w:r w:rsidRPr="00404017">
              <w:rPr>
                <w:rStyle w:val="115pt0pt"/>
                <w:sz w:val="28"/>
                <w:szCs w:val="28"/>
              </w:rPr>
              <w:t xml:space="preserve">Игрушка для детей до 2-х лет из ПВХ для игр и купания в ванне - </w:t>
            </w:r>
            <w:proofErr w:type="spellStart"/>
            <w:r w:rsidRPr="00404017">
              <w:rPr>
                <w:rStyle w:val="115pt0pt"/>
                <w:sz w:val="28"/>
                <w:szCs w:val="28"/>
              </w:rPr>
              <w:t>гфуг</w:t>
            </w:r>
            <w:proofErr w:type="spellEnd"/>
            <w:r w:rsidRPr="00404017">
              <w:rPr>
                <w:rStyle w:val="115pt0pt"/>
                <w:sz w:val="28"/>
                <w:szCs w:val="28"/>
              </w:rPr>
              <w:t xml:space="preserve"> на </w:t>
            </w:r>
            <w:r w:rsidRPr="00404017">
              <w:rPr>
                <w:rStyle w:val="115pt0pt"/>
                <w:sz w:val="28"/>
                <w:szCs w:val="28"/>
              </w:rPr>
              <w:lastRenderedPageBreak/>
              <w:t xml:space="preserve">шею </w:t>
            </w:r>
            <w:r w:rsidRPr="00404017">
              <w:rPr>
                <w:rStyle w:val="115pt0pt"/>
                <w:sz w:val="28"/>
                <w:szCs w:val="28"/>
                <w:lang w:eastAsia="en-US" w:bidi="en-US"/>
              </w:rPr>
              <w:t>«</w:t>
            </w:r>
            <w:r w:rsidRPr="00404017">
              <w:rPr>
                <w:rStyle w:val="115pt0pt"/>
                <w:sz w:val="28"/>
                <w:szCs w:val="28"/>
                <w:lang w:val="en-US" w:eastAsia="en-US" w:bidi="en-US"/>
              </w:rPr>
              <w:t>Roxy</w:t>
            </w:r>
            <w:r w:rsidRPr="00404017">
              <w:rPr>
                <w:rStyle w:val="115pt0pt"/>
                <w:sz w:val="28"/>
                <w:szCs w:val="28"/>
                <w:lang w:eastAsia="en-US" w:bidi="en-US"/>
              </w:rPr>
              <w:t xml:space="preserve"> </w:t>
            </w:r>
            <w:r w:rsidRPr="00404017">
              <w:rPr>
                <w:rStyle w:val="115pt0pt"/>
                <w:sz w:val="28"/>
                <w:szCs w:val="28"/>
                <w:lang w:val="en-US" w:eastAsia="en-US" w:bidi="en-US"/>
              </w:rPr>
              <w:t>Kids</w:t>
            </w:r>
            <w:r w:rsidRPr="00404017">
              <w:rPr>
                <w:rStyle w:val="115pt0pt"/>
                <w:sz w:val="28"/>
                <w:szCs w:val="28"/>
                <w:lang w:eastAsia="en-US" w:bidi="en-US"/>
              </w:rPr>
              <w:t xml:space="preserve">» </w:t>
            </w:r>
            <w:r w:rsidRPr="00404017">
              <w:rPr>
                <w:rStyle w:val="115pt0pt"/>
                <w:sz w:val="28"/>
                <w:szCs w:val="28"/>
                <w:lang w:val="en-US" w:eastAsia="en-US" w:bidi="en-US"/>
              </w:rPr>
              <w:t>Bimbo</w:t>
            </w:r>
            <w:r w:rsidRPr="00404017">
              <w:rPr>
                <w:rStyle w:val="115pt0pt"/>
                <w:sz w:val="28"/>
                <w:szCs w:val="28"/>
                <w:lang w:eastAsia="en-US" w:bidi="en-US"/>
              </w:rPr>
              <w:t xml:space="preserve"> </w:t>
            </w:r>
            <w:r w:rsidRPr="00404017">
              <w:rPr>
                <w:rStyle w:val="115pt0pt"/>
                <w:sz w:val="28"/>
                <w:szCs w:val="28"/>
              </w:rPr>
              <w:t xml:space="preserve">для купания детей, артикул ВО- 001, штриховой код 4627086620050, дата изготовления: апрель 2015г., срок службы 24 месяца, гарантийный срок - 30 дней </w:t>
            </w:r>
            <w:proofErr w:type="gramStart"/>
            <w:r w:rsidRPr="00404017">
              <w:rPr>
                <w:rStyle w:val="115pt0pt"/>
                <w:sz w:val="28"/>
                <w:szCs w:val="28"/>
              </w:rPr>
              <w:t>с даты продажи</w:t>
            </w:r>
            <w:proofErr w:type="gramEnd"/>
          </w:p>
        </w:tc>
        <w:tc>
          <w:tcPr>
            <w:tcW w:w="2936" w:type="dxa"/>
          </w:tcPr>
          <w:p w:rsidR="003F4073" w:rsidRPr="00404017" w:rsidRDefault="003F4073" w:rsidP="00404017">
            <w:pPr>
              <w:pStyle w:val="1"/>
              <w:shd w:val="clear" w:color="auto" w:fill="auto"/>
              <w:spacing w:after="0" w:line="240" w:lineRule="auto"/>
              <w:ind w:left="120"/>
              <w:jc w:val="both"/>
              <w:rPr>
                <w:sz w:val="28"/>
                <w:szCs w:val="28"/>
                <w:lang w:val="en-US"/>
              </w:rPr>
            </w:pPr>
            <w:r w:rsidRPr="00404017">
              <w:rPr>
                <w:rStyle w:val="115pt0pt"/>
                <w:sz w:val="28"/>
                <w:szCs w:val="28"/>
              </w:rPr>
              <w:lastRenderedPageBreak/>
              <w:t>Изготовитель</w:t>
            </w:r>
            <w:r w:rsidRPr="00404017">
              <w:rPr>
                <w:rStyle w:val="115pt0pt"/>
                <w:sz w:val="28"/>
                <w:szCs w:val="28"/>
                <w:lang w:val="en-US"/>
              </w:rPr>
              <w:t>:</w:t>
            </w:r>
          </w:p>
          <w:p w:rsidR="003F4073" w:rsidRPr="00404017" w:rsidRDefault="003F4073" w:rsidP="00404017">
            <w:pPr>
              <w:pStyle w:val="1"/>
              <w:shd w:val="clear" w:color="auto" w:fill="auto"/>
              <w:spacing w:after="60" w:line="240" w:lineRule="auto"/>
              <w:jc w:val="both"/>
              <w:rPr>
                <w:rStyle w:val="10pt0pt"/>
                <w:sz w:val="28"/>
                <w:szCs w:val="28"/>
              </w:rPr>
            </w:pPr>
            <w:proofErr w:type="gramStart"/>
            <w:r w:rsidRPr="00404017">
              <w:rPr>
                <w:rStyle w:val="115pt0pt"/>
                <w:sz w:val="28"/>
                <w:szCs w:val="28"/>
                <w:lang w:val="en-US" w:eastAsia="en-US" w:bidi="en-US"/>
              </w:rPr>
              <w:t xml:space="preserve">BIN YUAN PLASTIC CO., LIMITED, 12/F, San </w:t>
            </w:r>
            <w:proofErr w:type="spellStart"/>
            <w:r w:rsidRPr="00404017">
              <w:rPr>
                <w:rStyle w:val="115pt0pt"/>
                <w:sz w:val="28"/>
                <w:szCs w:val="28"/>
                <w:lang w:val="en-US" w:eastAsia="en-US" w:bidi="en-US"/>
              </w:rPr>
              <w:t>Tol</w:t>
            </w:r>
            <w:proofErr w:type="spellEnd"/>
            <w:r w:rsidRPr="00404017">
              <w:rPr>
                <w:rStyle w:val="115pt0pt"/>
                <w:sz w:val="28"/>
                <w:szCs w:val="28"/>
                <w:lang w:val="en-US" w:eastAsia="en-US" w:bidi="en-US"/>
              </w:rPr>
              <w:t xml:space="preserve"> Building, 137- 139 Connaught Road </w:t>
            </w:r>
            <w:r w:rsidRPr="00404017">
              <w:rPr>
                <w:rStyle w:val="115pt0pt"/>
                <w:sz w:val="28"/>
                <w:szCs w:val="28"/>
                <w:lang w:val="en-US" w:eastAsia="en-US" w:bidi="en-US"/>
              </w:rPr>
              <w:lastRenderedPageBreak/>
              <w:t xml:space="preserve">Central, Hong Kong, </w:t>
            </w:r>
            <w:r w:rsidRPr="00404017">
              <w:rPr>
                <w:rStyle w:val="115pt0pt"/>
                <w:sz w:val="28"/>
                <w:szCs w:val="28"/>
              </w:rPr>
              <w:t>Гонконг</w:t>
            </w:r>
            <w:r w:rsidRPr="00404017">
              <w:rPr>
                <w:rStyle w:val="115pt0pt"/>
                <w:sz w:val="28"/>
                <w:szCs w:val="28"/>
                <w:lang w:val="en-US"/>
              </w:rPr>
              <w:t xml:space="preserve">, </w:t>
            </w:r>
            <w:r w:rsidRPr="00404017">
              <w:rPr>
                <w:rStyle w:val="115pt0pt"/>
                <w:sz w:val="28"/>
                <w:szCs w:val="28"/>
              </w:rPr>
              <w:t>КНР</w:t>
            </w:r>
            <w:r w:rsidRPr="00404017">
              <w:rPr>
                <w:rStyle w:val="115pt0pt"/>
                <w:sz w:val="28"/>
                <w:szCs w:val="28"/>
                <w:lang w:val="en-US"/>
              </w:rPr>
              <w:t>.</w:t>
            </w:r>
            <w:proofErr w:type="gramEnd"/>
            <w:r w:rsidRPr="00404017">
              <w:rPr>
                <w:rStyle w:val="115pt0pt"/>
                <w:sz w:val="28"/>
                <w:szCs w:val="28"/>
                <w:lang w:val="en-US"/>
              </w:rPr>
              <w:t xml:space="preserve"> </w:t>
            </w:r>
            <w:r w:rsidRPr="00404017">
              <w:rPr>
                <w:rStyle w:val="115pt0pt"/>
                <w:sz w:val="28"/>
                <w:szCs w:val="28"/>
              </w:rPr>
              <w:t xml:space="preserve">Импортер в Республику Беларусь: ИП </w:t>
            </w:r>
            <w:proofErr w:type="spellStart"/>
            <w:r w:rsidRPr="00404017">
              <w:rPr>
                <w:rStyle w:val="115pt0pt"/>
                <w:sz w:val="28"/>
                <w:szCs w:val="28"/>
              </w:rPr>
              <w:t>Талейко</w:t>
            </w:r>
            <w:proofErr w:type="spellEnd"/>
            <w:r w:rsidRPr="00404017">
              <w:rPr>
                <w:rStyle w:val="115pt0pt"/>
                <w:sz w:val="28"/>
                <w:szCs w:val="28"/>
              </w:rPr>
              <w:t xml:space="preserve"> </w:t>
            </w:r>
            <w:r w:rsidRPr="00404017">
              <w:rPr>
                <w:rStyle w:val="115pt0pt"/>
                <w:sz w:val="28"/>
                <w:szCs w:val="28"/>
                <w:lang w:val="en-US" w:eastAsia="en-US" w:bidi="en-US"/>
              </w:rPr>
              <w:t>E</w:t>
            </w:r>
            <w:r w:rsidRPr="00404017">
              <w:rPr>
                <w:rStyle w:val="115pt0pt"/>
                <w:sz w:val="28"/>
                <w:szCs w:val="28"/>
                <w:lang w:eastAsia="en-US" w:bidi="en-US"/>
              </w:rPr>
              <w:t>.</w:t>
            </w:r>
            <w:r w:rsidRPr="00404017">
              <w:rPr>
                <w:rStyle w:val="115pt0pt"/>
                <w:sz w:val="28"/>
                <w:szCs w:val="28"/>
                <w:lang w:val="en-US" w:eastAsia="en-US" w:bidi="en-US"/>
              </w:rPr>
              <w:t>JL</w:t>
            </w:r>
            <w:r w:rsidRPr="00404017">
              <w:rPr>
                <w:rStyle w:val="115pt0pt"/>
                <w:sz w:val="28"/>
                <w:szCs w:val="28"/>
                <w:lang w:eastAsia="en-US" w:bidi="en-US"/>
              </w:rPr>
              <w:t xml:space="preserve">, </w:t>
            </w:r>
            <w:r w:rsidRPr="00404017">
              <w:rPr>
                <w:rStyle w:val="115pt0pt"/>
                <w:sz w:val="28"/>
                <w:szCs w:val="28"/>
              </w:rPr>
              <w:t>г. Минск, бульвар Шевченко, 3</w:t>
            </w:r>
          </w:p>
        </w:tc>
        <w:tc>
          <w:tcPr>
            <w:tcW w:w="1663" w:type="dxa"/>
          </w:tcPr>
          <w:p w:rsidR="003F4073" w:rsidRPr="00404017" w:rsidRDefault="003F4073" w:rsidP="00404017">
            <w:pPr>
              <w:jc w:val="both"/>
              <w:rPr>
                <w:rStyle w:val="115pt0pt"/>
                <w:sz w:val="28"/>
                <w:szCs w:val="28"/>
              </w:rPr>
            </w:pPr>
            <w:proofErr w:type="gramStart"/>
            <w:r w:rsidRPr="00404017">
              <w:rPr>
                <w:rStyle w:val="115pt0pt"/>
                <w:sz w:val="28"/>
                <w:szCs w:val="28"/>
              </w:rPr>
              <w:lastRenderedPageBreak/>
              <w:t xml:space="preserve">ТЦ «Радужный», г. Барановичи, ул. </w:t>
            </w:r>
            <w:r w:rsidRPr="00404017">
              <w:rPr>
                <w:rStyle w:val="115pt0pt"/>
                <w:sz w:val="28"/>
                <w:szCs w:val="28"/>
              </w:rPr>
              <w:lastRenderedPageBreak/>
              <w:t>Тельмана, 64, павильон № 37 «Мой малыш»</w:t>
            </w:r>
            <w:proofErr w:type="gramEnd"/>
          </w:p>
        </w:tc>
        <w:tc>
          <w:tcPr>
            <w:tcW w:w="4439" w:type="dxa"/>
          </w:tcPr>
          <w:p w:rsidR="003F4073" w:rsidRPr="00404017" w:rsidRDefault="003F4073" w:rsidP="00404017">
            <w:pPr>
              <w:jc w:val="both"/>
              <w:rPr>
                <w:rStyle w:val="115pt0pt"/>
                <w:sz w:val="28"/>
                <w:szCs w:val="28"/>
              </w:rPr>
            </w:pPr>
            <w:r w:rsidRPr="00404017">
              <w:rPr>
                <w:rStyle w:val="115pt0pt"/>
                <w:sz w:val="28"/>
                <w:szCs w:val="28"/>
              </w:rPr>
              <w:lastRenderedPageBreak/>
              <w:t xml:space="preserve">Не соответствует требованиям СанПиН «Требования к производству и реализации отдельных видов продукции для детей», ГН «Показатели </w:t>
            </w:r>
            <w:r w:rsidRPr="00404017">
              <w:rPr>
                <w:rStyle w:val="115pt0pt"/>
                <w:sz w:val="28"/>
                <w:szCs w:val="28"/>
              </w:rPr>
              <w:lastRenderedPageBreak/>
              <w:t xml:space="preserve">безопасности отдельных видов продукции для детей», утв. постановлением М3 РБ от 20.12.2012 № 200, Глава 2, Приложение 3, требованиям </w:t>
            </w:r>
            <w:proofErr w:type="gramStart"/>
            <w:r w:rsidRPr="00404017">
              <w:rPr>
                <w:rStyle w:val="115pt0pt"/>
                <w:sz w:val="28"/>
                <w:szCs w:val="28"/>
              </w:rPr>
              <w:t>ТР</w:t>
            </w:r>
            <w:proofErr w:type="gramEnd"/>
            <w:r w:rsidRPr="00404017">
              <w:rPr>
                <w:rStyle w:val="115pt0pt"/>
                <w:sz w:val="28"/>
                <w:szCs w:val="28"/>
              </w:rPr>
              <w:t xml:space="preserve"> ТС 008/2011 «О безопасности игрушек», утв. Решением Комиссии Таможенного союза от 23.09.2011 № 798, Статья 4, Приложение 2, по органолептическим показателям (интенсивность запаха образца составила </w:t>
            </w:r>
            <w:proofErr w:type="gramStart"/>
            <w:r w:rsidRPr="00404017">
              <w:rPr>
                <w:rStyle w:val="115pt0pt"/>
                <w:sz w:val="28"/>
                <w:szCs w:val="28"/>
              </w:rPr>
              <w:t>2 балла при нормированном значении интенсивности запаха не более 1 балла), по выделению в модельную среду фенола в количестве, превышающем установленный норматив (фактическое значение фенола составило 6,3 мг/дм</w:t>
            </w:r>
            <w:r w:rsidRPr="00404017">
              <w:rPr>
                <w:rStyle w:val="115pt0pt"/>
                <w:sz w:val="28"/>
                <w:szCs w:val="28"/>
                <w:vertAlign w:val="superscript"/>
              </w:rPr>
              <w:t>3</w:t>
            </w:r>
            <w:r w:rsidRPr="00404017">
              <w:rPr>
                <w:rStyle w:val="115pt0pt"/>
                <w:sz w:val="28"/>
                <w:szCs w:val="28"/>
              </w:rPr>
              <w:t xml:space="preserve"> при нормативе не более 0,05 мг/</w:t>
            </w:r>
            <w:proofErr w:type="spellStart"/>
            <w:r w:rsidRPr="00404017">
              <w:rPr>
                <w:rStyle w:val="115pt0pt"/>
                <w:sz w:val="28"/>
                <w:szCs w:val="28"/>
              </w:rPr>
              <w:t>даг</w:t>
            </w:r>
            <w:proofErr w:type="spellEnd"/>
            <w:r w:rsidRPr="00404017">
              <w:rPr>
                <w:rStyle w:val="115pt0pt"/>
                <w:sz w:val="28"/>
                <w:szCs w:val="28"/>
              </w:rPr>
              <w:t>).</w:t>
            </w:r>
            <w:proofErr w:type="gramEnd"/>
          </w:p>
        </w:tc>
        <w:tc>
          <w:tcPr>
            <w:tcW w:w="2223" w:type="dxa"/>
          </w:tcPr>
          <w:p w:rsidR="003F4073" w:rsidRPr="00404017" w:rsidRDefault="003F4073" w:rsidP="00404017">
            <w:pPr>
              <w:jc w:val="both"/>
              <w:rPr>
                <w:rStyle w:val="115pt0pt"/>
                <w:sz w:val="28"/>
                <w:szCs w:val="28"/>
              </w:rPr>
            </w:pPr>
            <w:r w:rsidRPr="00404017">
              <w:rPr>
                <w:rStyle w:val="115pt0pt"/>
                <w:sz w:val="28"/>
                <w:szCs w:val="28"/>
              </w:rPr>
              <w:lastRenderedPageBreak/>
              <w:t xml:space="preserve">Сертификат соответствия Таможенного союза № ТС </w:t>
            </w:r>
            <w:r w:rsidRPr="00404017">
              <w:rPr>
                <w:rStyle w:val="115pt0pt"/>
                <w:sz w:val="28"/>
                <w:szCs w:val="28"/>
                <w:lang w:val="en-US" w:eastAsia="en-US" w:bidi="en-US"/>
              </w:rPr>
              <w:t>RU</w:t>
            </w:r>
            <w:r w:rsidRPr="00404017">
              <w:rPr>
                <w:rStyle w:val="115pt0pt"/>
                <w:sz w:val="28"/>
                <w:szCs w:val="28"/>
                <w:lang w:eastAsia="en-US" w:bidi="en-US"/>
              </w:rPr>
              <w:t xml:space="preserve"> </w:t>
            </w:r>
            <w:r w:rsidRPr="00404017">
              <w:rPr>
                <w:rStyle w:val="115pt0pt"/>
                <w:sz w:val="28"/>
                <w:szCs w:val="28"/>
              </w:rPr>
              <w:t>С- НК</w:t>
            </w:r>
            <w:proofErr w:type="gramStart"/>
            <w:r w:rsidRPr="00404017">
              <w:rPr>
                <w:rStyle w:val="115pt0pt"/>
                <w:sz w:val="28"/>
                <w:szCs w:val="28"/>
              </w:rPr>
              <w:t>.А</w:t>
            </w:r>
            <w:proofErr w:type="gramEnd"/>
            <w:r w:rsidRPr="00404017">
              <w:rPr>
                <w:rStyle w:val="115pt0pt"/>
                <w:sz w:val="28"/>
                <w:szCs w:val="28"/>
              </w:rPr>
              <w:t xml:space="preserve">Г03.А. </w:t>
            </w:r>
            <w:r w:rsidRPr="00404017">
              <w:rPr>
                <w:rStyle w:val="115pt0pt"/>
                <w:sz w:val="28"/>
                <w:szCs w:val="28"/>
              </w:rPr>
              <w:lastRenderedPageBreak/>
              <w:t>13244 от 09.07.2015, выданный Обществом с ограниченной ответственностью «</w:t>
            </w:r>
            <w:proofErr w:type="spellStart"/>
            <w:r w:rsidRPr="00404017">
              <w:rPr>
                <w:rStyle w:val="115pt0pt"/>
                <w:sz w:val="28"/>
                <w:szCs w:val="28"/>
              </w:rPr>
              <w:t>Альсена</w:t>
            </w:r>
            <w:proofErr w:type="spellEnd"/>
            <w:r w:rsidRPr="00404017">
              <w:rPr>
                <w:rStyle w:val="115pt0pt"/>
                <w:sz w:val="28"/>
                <w:szCs w:val="28"/>
              </w:rPr>
              <w:t xml:space="preserve">», адрес: 129626, г. Москва, ул. 3-я </w:t>
            </w:r>
            <w:proofErr w:type="spellStart"/>
            <w:r w:rsidRPr="00404017">
              <w:rPr>
                <w:rStyle w:val="115pt0pt"/>
                <w:sz w:val="28"/>
                <w:szCs w:val="28"/>
              </w:rPr>
              <w:t>Мытищинская</w:t>
            </w:r>
            <w:proofErr w:type="spellEnd"/>
            <w:r w:rsidRPr="00404017">
              <w:rPr>
                <w:rStyle w:val="115pt0pt"/>
                <w:sz w:val="28"/>
                <w:szCs w:val="28"/>
              </w:rPr>
              <w:t>, д. 3, строение 1, офис 405.</w:t>
            </w:r>
          </w:p>
        </w:tc>
        <w:tc>
          <w:tcPr>
            <w:tcW w:w="1798" w:type="dxa"/>
          </w:tcPr>
          <w:p w:rsidR="003F4073" w:rsidRPr="00404017" w:rsidRDefault="003F4073" w:rsidP="00404017">
            <w:pPr>
              <w:jc w:val="both"/>
              <w:rPr>
                <w:rStyle w:val="115pt0pt"/>
                <w:sz w:val="28"/>
                <w:szCs w:val="28"/>
              </w:rPr>
            </w:pPr>
            <w:proofErr w:type="gramStart"/>
            <w:r w:rsidRPr="00404017">
              <w:rPr>
                <w:rStyle w:val="115pt0pt"/>
                <w:sz w:val="28"/>
                <w:szCs w:val="28"/>
              </w:rPr>
              <w:lastRenderedPageBreak/>
              <w:t>Государственное</w:t>
            </w:r>
            <w:proofErr w:type="gramEnd"/>
          </w:p>
          <w:p w:rsidR="003F4073" w:rsidRPr="00404017" w:rsidRDefault="003F4073" w:rsidP="00404017">
            <w:pPr>
              <w:jc w:val="both"/>
              <w:rPr>
                <w:rStyle w:val="115pt0pt"/>
                <w:sz w:val="28"/>
                <w:szCs w:val="28"/>
              </w:rPr>
            </w:pPr>
            <w:r w:rsidRPr="00404017">
              <w:rPr>
                <w:rStyle w:val="115pt0pt"/>
                <w:sz w:val="28"/>
                <w:szCs w:val="28"/>
              </w:rPr>
              <w:t xml:space="preserve"> учреждение «</w:t>
            </w:r>
            <w:proofErr w:type="spellStart"/>
            <w:r w:rsidRPr="00404017">
              <w:rPr>
                <w:rStyle w:val="115pt0pt"/>
                <w:sz w:val="28"/>
                <w:szCs w:val="28"/>
              </w:rPr>
              <w:t>Барановичский</w:t>
            </w:r>
            <w:proofErr w:type="spellEnd"/>
            <w:r w:rsidRPr="00404017">
              <w:rPr>
                <w:rStyle w:val="115pt0pt"/>
                <w:sz w:val="28"/>
                <w:szCs w:val="28"/>
              </w:rPr>
              <w:t xml:space="preserve"> зональный </w:t>
            </w:r>
            <w:r w:rsidRPr="00404017">
              <w:rPr>
                <w:rStyle w:val="115pt0pt"/>
                <w:sz w:val="28"/>
                <w:szCs w:val="28"/>
              </w:rPr>
              <w:lastRenderedPageBreak/>
              <w:t>центр гигиены и эпидемиологии»</w:t>
            </w:r>
          </w:p>
        </w:tc>
      </w:tr>
    </w:tbl>
    <w:p w:rsidR="00D85CEE" w:rsidRDefault="00D85CEE" w:rsidP="00DF10BB">
      <w:pPr>
        <w:rPr>
          <w:sz w:val="28"/>
          <w:szCs w:val="28"/>
        </w:rPr>
      </w:pPr>
    </w:p>
    <w:p w:rsidR="007A4C72" w:rsidRDefault="007A4C72" w:rsidP="000161E1">
      <w:pPr>
        <w:jc w:val="right"/>
        <w:rPr>
          <w:sz w:val="28"/>
          <w:szCs w:val="28"/>
        </w:rPr>
      </w:pPr>
    </w:p>
    <w:p w:rsidR="007A4C72" w:rsidRDefault="007A4C72" w:rsidP="007A4C72">
      <w:pPr>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Default="007A4C72" w:rsidP="000161E1">
      <w:pPr>
        <w:jc w:val="right"/>
        <w:rPr>
          <w:sz w:val="28"/>
          <w:szCs w:val="28"/>
        </w:rPr>
      </w:pPr>
    </w:p>
    <w:p w:rsidR="007A4C72" w:rsidRPr="00D85CEE" w:rsidRDefault="007A4C72" w:rsidP="000161E1">
      <w:pPr>
        <w:jc w:val="right"/>
        <w:rPr>
          <w:sz w:val="28"/>
          <w:szCs w:val="28"/>
        </w:rPr>
      </w:pPr>
    </w:p>
    <w:sectPr w:rsidR="007A4C72" w:rsidRPr="00D85CEE" w:rsidSect="003F4073">
      <w:headerReference w:type="even" r:id="rId7"/>
      <w:headerReference w:type="default" r:id="rId8"/>
      <w:footerReference w:type="even" r:id="rId9"/>
      <w:footerReference w:type="default" r:id="rId10"/>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DC" w:rsidRDefault="00CC5DDC">
      <w:r>
        <w:separator/>
      </w:r>
    </w:p>
  </w:endnote>
  <w:endnote w:type="continuationSeparator" w:id="0">
    <w:p w:rsidR="00CC5DDC" w:rsidRDefault="00CC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77" w:rsidRDefault="009E4F77" w:rsidP="008E6D4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4F77" w:rsidRDefault="009E4F77" w:rsidP="008E6D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77" w:rsidRDefault="009E4F77" w:rsidP="008E6D4B">
    <w:pPr>
      <w:pStyle w:val="a3"/>
      <w:framePr w:wrap="around" w:vAnchor="text" w:hAnchor="margin" w:xAlign="right" w:y="1"/>
      <w:rPr>
        <w:rStyle w:val="a4"/>
      </w:rPr>
    </w:pPr>
  </w:p>
  <w:p w:rsidR="009E4F77" w:rsidRDefault="009E4F77" w:rsidP="008E6D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DC" w:rsidRDefault="00CC5DDC">
      <w:r>
        <w:separator/>
      </w:r>
    </w:p>
  </w:footnote>
  <w:footnote w:type="continuationSeparator" w:id="0">
    <w:p w:rsidR="00CC5DDC" w:rsidRDefault="00CC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77" w:rsidRDefault="009E4F77" w:rsidP="008E6D4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4F77" w:rsidRDefault="009E4F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77" w:rsidRDefault="009E4F77" w:rsidP="008E6D4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04017">
      <w:rPr>
        <w:rStyle w:val="a4"/>
        <w:noProof/>
      </w:rPr>
      <w:t>2</w:t>
    </w:r>
    <w:r>
      <w:rPr>
        <w:rStyle w:val="a4"/>
      </w:rPr>
      <w:fldChar w:fldCharType="end"/>
    </w:r>
  </w:p>
  <w:p w:rsidR="009E4F77" w:rsidRDefault="009E4F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6D4B"/>
    <w:rsid w:val="000033FC"/>
    <w:rsid w:val="00004C3D"/>
    <w:rsid w:val="00005404"/>
    <w:rsid w:val="00014616"/>
    <w:rsid w:val="000161E1"/>
    <w:rsid w:val="00017B0B"/>
    <w:rsid w:val="0002664D"/>
    <w:rsid w:val="00036D55"/>
    <w:rsid w:val="00041B0F"/>
    <w:rsid w:val="000516ED"/>
    <w:rsid w:val="00051FA3"/>
    <w:rsid w:val="00052FAF"/>
    <w:rsid w:val="00054FCD"/>
    <w:rsid w:val="0006109F"/>
    <w:rsid w:val="0007194E"/>
    <w:rsid w:val="00072DF3"/>
    <w:rsid w:val="0007604C"/>
    <w:rsid w:val="000809EB"/>
    <w:rsid w:val="00091FBB"/>
    <w:rsid w:val="00097C8A"/>
    <w:rsid w:val="000A03E6"/>
    <w:rsid w:val="000A1D44"/>
    <w:rsid w:val="000B116E"/>
    <w:rsid w:val="000C0040"/>
    <w:rsid w:val="000C3F05"/>
    <w:rsid w:val="000D07F8"/>
    <w:rsid w:val="000D54B7"/>
    <w:rsid w:val="000E60C5"/>
    <w:rsid w:val="000F53C3"/>
    <w:rsid w:val="00101A62"/>
    <w:rsid w:val="00110405"/>
    <w:rsid w:val="00114A1A"/>
    <w:rsid w:val="00114D53"/>
    <w:rsid w:val="001275BC"/>
    <w:rsid w:val="00133B7F"/>
    <w:rsid w:val="00143058"/>
    <w:rsid w:val="00145716"/>
    <w:rsid w:val="00165B25"/>
    <w:rsid w:val="001B23D2"/>
    <w:rsid w:val="001B3412"/>
    <w:rsid w:val="001B5D84"/>
    <w:rsid w:val="001D5508"/>
    <w:rsid w:val="001E6BCF"/>
    <w:rsid w:val="001F5BB5"/>
    <w:rsid w:val="001F74BA"/>
    <w:rsid w:val="00206B9E"/>
    <w:rsid w:val="0021097E"/>
    <w:rsid w:val="00226B5D"/>
    <w:rsid w:val="00234BFE"/>
    <w:rsid w:val="002865DA"/>
    <w:rsid w:val="0029388B"/>
    <w:rsid w:val="00297F66"/>
    <w:rsid w:val="002A4658"/>
    <w:rsid w:val="002B0E6C"/>
    <w:rsid w:val="002B13BB"/>
    <w:rsid w:val="002B327E"/>
    <w:rsid w:val="002B7C16"/>
    <w:rsid w:val="002C4FB1"/>
    <w:rsid w:val="002C6834"/>
    <w:rsid w:val="002D0D75"/>
    <w:rsid w:val="002F4ADA"/>
    <w:rsid w:val="0030254A"/>
    <w:rsid w:val="00303787"/>
    <w:rsid w:val="003338CC"/>
    <w:rsid w:val="003403FE"/>
    <w:rsid w:val="00340DC6"/>
    <w:rsid w:val="0037109E"/>
    <w:rsid w:val="00380446"/>
    <w:rsid w:val="00384032"/>
    <w:rsid w:val="003851E1"/>
    <w:rsid w:val="0039207E"/>
    <w:rsid w:val="003B3F89"/>
    <w:rsid w:val="003C0ADC"/>
    <w:rsid w:val="003C599D"/>
    <w:rsid w:val="003D6A0A"/>
    <w:rsid w:val="003E1E18"/>
    <w:rsid w:val="003E5ACC"/>
    <w:rsid w:val="003F4073"/>
    <w:rsid w:val="003F5908"/>
    <w:rsid w:val="003F6C6F"/>
    <w:rsid w:val="004019F8"/>
    <w:rsid w:val="00404017"/>
    <w:rsid w:val="00416F95"/>
    <w:rsid w:val="0042528E"/>
    <w:rsid w:val="00436C52"/>
    <w:rsid w:val="00437090"/>
    <w:rsid w:val="00441C85"/>
    <w:rsid w:val="00452466"/>
    <w:rsid w:val="00472F01"/>
    <w:rsid w:val="004927E2"/>
    <w:rsid w:val="0049512A"/>
    <w:rsid w:val="0049746F"/>
    <w:rsid w:val="004B0FFE"/>
    <w:rsid w:val="004B7BD0"/>
    <w:rsid w:val="004C0E12"/>
    <w:rsid w:val="004E1312"/>
    <w:rsid w:val="004E7703"/>
    <w:rsid w:val="004F5209"/>
    <w:rsid w:val="004F5991"/>
    <w:rsid w:val="005000BF"/>
    <w:rsid w:val="00500CAB"/>
    <w:rsid w:val="005016BF"/>
    <w:rsid w:val="00504393"/>
    <w:rsid w:val="00505992"/>
    <w:rsid w:val="0052406A"/>
    <w:rsid w:val="00524F81"/>
    <w:rsid w:val="00526DA2"/>
    <w:rsid w:val="0053478B"/>
    <w:rsid w:val="00534F69"/>
    <w:rsid w:val="005466CA"/>
    <w:rsid w:val="005516A8"/>
    <w:rsid w:val="00573668"/>
    <w:rsid w:val="00580D06"/>
    <w:rsid w:val="0058203D"/>
    <w:rsid w:val="005824B6"/>
    <w:rsid w:val="0058352B"/>
    <w:rsid w:val="00584905"/>
    <w:rsid w:val="005852A8"/>
    <w:rsid w:val="005943FB"/>
    <w:rsid w:val="0059779A"/>
    <w:rsid w:val="005A3B06"/>
    <w:rsid w:val="005B02AC"/>
    <w:rsid w:val="005B1AE1"/>
    <w:rsid w:val="005C269E"/>
    <w:rsid w:val="005C42AD"/>
    <w:rsid w:val="005C48C2"/>
    <w:rsid w:val="005C61BC"/>
    <w:rsid w:val="005D230E"/>
    <w:rsid w:val="005D2FC9"/>
    <w:rsid w:val="005D4D06"/>
    <w:rsid w:val="005E0357"/>
    <w:rsid w:val="005E356C"/>
    <w:rsid w:val="005F39DE"/>
    <w:rsid w:val="005F4A57"/>
    <w:rsid w:val="006046D2"/>
    <w:rsid w:val="0061231D"/>
    <w:rsid w:val="00621CEB"/>
    <w:rsid w:val="006406A4"/>
    <w:rsid w:val="00651EE8"/>
    <w:rsid w:val="00651F88"/>
    <w:rsid w:val="00653533"/>
    <w:rsid w:val="006554DE"/>
    <w:rsid w:val="006610AB"/>
    <w:rsid w:val="006642E8"/>
    <w:rsid w:val="006746BA"/>
    <w:rsid w:val="00677B03"/>
    <w:rsid w:val="006842AB"/>
    <w:rsid w:val="006A0A61"/>
    <w:rsid w:val="006B2ECB"/>
    <w:rsid w:val="006C635D"/>
    <w:rsid w:val="006D5620"/>
    <w:rsid w:val="006F4EB8"/>
    <w:rsid w:val="006F514F"/>
    <w:rsid w:val="006F654C"/>
    <w:rsid w:val="007068F8"/>
    <w:rsid w:val="00716D50"/>
    <w:rsid w:val="00720027"/>
    <w:rsid w:val="00721AD5"/>
    <w:rsid w:val="007335E6"/>
    <w:rsid w:val="00737738"/>
    <w:rsid w:val="00743794"/>
    <w:rsid w:val="00743A10"/>
    <w:rsid w:val="007440E6"/>
    <w:rsid w:val="00755065"/>
    <w:rsid w:val="00755628"/>
    <w:rsid w:val="007625B5"/>
    <w:rsid w:val="00777501"/>
    <w:rsid w:val="00783071"/>
    <w:rsid w:val="00787860"/>
    <w:rsid w:val="00787D80"/>
    <w:rsid w:val="00793141"/>
    <w:rsid w:val="007A2F8E"/>
    <w:rsid w:val="007A4C72"/>
    <w:rsid w:val="007A6EE4"/>
    <w:rsid w:val="007B3508"/>
    <w:rsid w:val="007D4D2C"/>
    <w:rsid w:val="007E042B"/>
    <w:rsid w:val="007E2A50"/>
    <w:rsid w:val="007E751A"/>
    <w:rsid w:val="007F423F"/>
    <w:rsid w:val="007F4A02"/>
    <w:rsid w:val="00807590"/>
    <w:rsid w:val="00811E05"/>
    <w:rsid w:val="00836C32"/>
    <w:rsid w:val="00837730"/>
    <w:rsid w:val="00845AA9"/>
    <w:rsid w:val="0085021C"/>
    <w:rsid w:val="008670F4"/>
    <w:rsid w:val="00867DBC"/>
    <w:rsid w:val="008740E5"/>
    <w:rsid w:val="00890B9C"/>
    <w:rsid w:val="008C4460"/>
    <w:rsid w:val="008C4953"/>
    <w:rsid w:val="008D7281"/>
    <w:rsid w:val="008E0634"/>
    <w:rsid w:val="008E6D4B"/>
    <w:rsid w:val="008E7B1E"/>
    <w:rsid w:val="008F653D"/>
    <w:rsid w:val="00904302"/>
    <w:rsid w:val="009070AB"/>
    <w:rsid w:val="0091089B"/>
    <w:rsid w:val="00913007"/>
    <w:rsid w:val="00915FF5"/>
    <w:rsid w:val="009230F8"/>
    <w:rsid w:val="00931ACD"/>
    <w:rsid w:val="009327CB"/>
    <w:rsid w:val="00933F41"/>
    <w:rsid w:val="00941045"/>
    <w:rsid w:val="00951714"/>
    <w:rsid w:val="0095583F"/>
    <w:rsid w:val="00955EF0"/>
    <w:rsid w:val="00960A7E"/>
    <w:rsid w:val="0097017B"/>
    <w:rsid w:val="00972A22"/>
    <w:rsid w:val="009765E1"/>
    <w:rsid w:val="0097792D"/>
    <w:rsid w:val="00992FDB"/>
    <w:rsid w:val="009A3219"/>
    <w:rsid w:val="009A6F9A"/>
    <w:rsid w:val="009C122E"/>
    <w:rsid w:val="009C5570"/>
    <w:rsid w:val="009E4F77"/>
    <w:rsid w:val="009E5E85"/>
    <w:rsid w:val="009E69F6"/>
    <w:rsid w:val="009F0994"/>
    <w:rsid w:val="009F260C"/>
    <w:rsid w:val="00A1166C"/>
    <w:rsid w:val="00A15592"/>
    <w:rsid w:val="00A203FF"/>
    <w:rsid w:val="00A36DC9"/>
    <w:rsid w:val="00A4406E"/>
    <w:rsid w:val="00A63585"/>
    <w:rsid w:val="00A81522"/>
    <w:rsid w:val="00A862B7"/>
    <w:rsid w:val="00A90842"/>
    <w:rsid w:val="00A93CAB"/>
    <w:rsid w:val="00AA6204"/>
    <w:rsid w:val="00AA792E"/>
    <w:rsid w:val="00AB44E6"/>
    <w:rsid w:val="00AC2B8A"/>
    <w:rsid w:val="00AC5EAD"/>
    <w:rsid w:val="00AC7EF9"/>
    <w:rsid w:val="00AD15B4"/>
    <w:rsid w:val="00AD4FB0"/>
    <w:rsid w:val="00AE35D3"/>
    <w:rsid w:val="00AE531B"/>
    <w:rsid w:val="00AF15F6"/>
    <w:rsid w:val="00B035C4"/>
    <w:rsid w:val="00B10B3A"/>
    <w:rsid w:val="00B203C3"/>
    <w:rsid w:val="00B21684"/>
    <w:rsid w:val="00B30632"/>
    <w:rsid w:val="00B32EC4"/>
    <w:rsid w:val="00B37C67"/>
    <w:rsid w:val="00B44419"/>
    <w:rsid w:val="00B50264"/>
    <w:rsid w:val="00B50739"/>
    <w:rsid w:val="00B51A24"/>
    <w:rsid w:val="00B53AF2"/>
    <w:rsid w:val="00B92930"/>
    <w:rsid w:val="00B97F1E"/>
    <w:rsid w:val="00BA0433"/>
    <w:rsid w:val="00BA414B"/>
    <w:rsid w:val="00BB64B6"/>
    <w:rsid w:val="00BB7AEC"/>
    <w:rsid w:val="00BD15F0"/>
    <w:rsid w:val="00BD5A8B"/>
    <w:rsid w:val="00BE0177"/>
    <w:rsid w:val="00BF1CA8"/>
    <w:rsid w:val="00BF4ABF"/>
    <w:rsid w:val="00C00472"/>
    <w:rsid w:val="00C034C0"/>
    <w:rsid w:val="00C16B5D"/>
    <w:rsid w:val="00C32717"/>
    <w:rsid w:val="00C32B92"/>
    <w:rsid w:val="00C35000"/>
    <w:rsid w:val="00C4104C"/>
    <w:rsid w:val="00C4767A"/>
    <w:rsid w:val="00C60A75"/>
    <w:rsid w:val="00C669B1"/>
    <w:rsid w:val="00C707B8"/>
    <w:rsid w:val="00C7577D"/>
    <w:rsid w:val="00C81442"/>
    <w:rsid w:val="00CA2D66"/>
    <w:rsid w:val="00CA395F"/>
    <w:rsid w:val="00CA5CE9"/>
    <w:rsid w:val="00CB2129"/>
    <w:rsid w:val="00CC5DDC"/>
    <w:rsid w:val="00CC6907"/>
    <w:rsid w:val="00CE3242"/>
    <w:rsid w:val="00CF25C1"/>
    <w:rsid w:val="00CF264A"/>
    <w:rsid w:val="00D00F23"/>
    <w:rsid w:val="00D02C39"/>
    <w:rsid w:val="00D04426"/>
    <w:rsid w:val="00D11EE3"/>
    <w:rsid w:val="00D14B73"/>
    <w:rsid w:val="00D16E6C"/>
    <w:rsid w:val="00D170B2"/>
    <w:rsid w:val="00D21AD8"/>
    <w:rsid w:val="00D26F83"/>
    <w:rsid w:val="00D4538C"/>
    <w:rsid w:val="00D47CD8"/>
    <w:rsid w:val="00D500A9"/>
    <w:rsid w:val="00D541C3"/>
    <w:rsid w:val="00D716F9"/>
    <w:rsid w:val="00D755DE"/>
    <w:rsid w:val="00D75E56"/>
    <w:rsid w:val="00D8327C"/>
    <w:rsid w:val="00D85CEE"/>
    <w:rsid w:val="00D86566"/>
    <w:rsid w:val="00D8677E"/>
    <w:rsid w:val="00D87D54"/>
    <w:rsid w:val="00D9774F"/>
    <w:rsid w:val="00D97CAB"/>
    <w:rsid w:val="00DA46C3"/>
    <w:rsid w:val="00DB7F2C"/>
    <w:rsid w:val="00DC3630"/>
    <w:rsid w:val="00DC523A"/>
    <w:rsid w:val="00DC5EB0"/>
    <w:rsid w:val="00DD1603"/>
    <w:rsid w:val="00DD765A"/>
    <w:rsid w:val="00DE72CA"/>
    <w:rsid w:val="00DF10BB"/>
    <w:rsid w:val="00E0515F"/>
    <w:rsid w:val="00E23FC7"/>
    <w:rsid w:val="00E34B3E"/>
    <w:rsid w:val="00E421E9"/>
    <w:rsid w:val="00E4306C"/>
    <w:rsid w:val="00E433A4"/>
    <w:rsid w:val="00E43F22"/>
    <w:rsid w:val="00E55345"/>
    <w:rsid w:val="00E55D2D"/>
    <w:rsid w:val="00E654A0"/>
    <w:rsid w:val="00E802EE"/>
    <w:rsid w:val="00E87D65"/>
    <w:rsid w:val="00E94E44"/>
    <w:rsid w:val="00E96650"/>
    <w:rsid w:val="00E97B57"/>
    <w:rsid w:val="00EA04A5"/>
    <w:rsid w:val="00EA5F45"/>
    <w:rsid w:val="00EA6838"/>
    <w:rsid w:val="00EA6D75"/>
    <w:rsid w:val="00EB03F4"/>
    <w:rsid w:val="00EB0C56"/>
    <w:rsid w:val="00EB1AB5"/>
    <w:rsid w:val="00EB49AD"/>
    <w:rsid w:val="00EB5F00"/>
    <w:rsid w:val="00EC13FA"/>
    <w:rsid w:val="00EC2FA4"/>
    <w:rsid w:val="00EC415A"/>
    <w:rsid w:val="00EC5294"/>
    <w:rsid w:val="00ED1651"/>
    <w:rsid w:val="00ED5B5F"/>
    <w:rsid w:val="00EE17D5"/>
    <w:rsid w:val="00EF261D"/>
    <w:rsid w:val="00EF5FC5"/>
    <w:rsid w:val="00F00281"/>
    <w:rsid w:val="00F03234"/>
    <w:rsid w:val="00F0383E"/>
    <w:rsid w:val="00F05579"/>
    <w:rsid w:val="00F07E6E"/>
    <w:rsid w:val="00F12B57"/>
    <w:rsid w:val="00F32661"/>
    <w:rsid w:val="00F33DA1"/>
    <w:rsid w:val="00F443DA"/>
    <w:rsid w:val="00F458C0"/>
    <w:rsid w:val="00F46037"/>
    <w:rsid w:val="00F47303"/>
    <w:rsid w:val="00F50BF1"/>
    <w:rsid w:val="00F5302B"/>
    <w:rsid w:val="00F53B9A"/>
    <w:rsid w:val="00F54E46"/>
    <w:rsid w:val="00F6165E"/>
    <w:rsid w:val="00F719BF"/>
    <w:rsid w:val="00F80ADF"/>
    <w:rsid w:val="00F81D2D"/>
    <w:rsid w:val="00F86144"/>
    <w:rsid w:val="00F90816"/>
    <w:rsid w:val="00F93D14"/>
    <w:rsid w:val="00FA26D2"/>
    <w:rsid w:val="00FA713A"/>
    <w:rsid w:val="00FB2906"/>
    <w:rsid w:val="00FC17BF"/>
    <w:rsid w:val="00FC1AD4"/>
    <w:rsid w:val="00FC754C"/>
    <w:rsid w:val="00FD1226"/>
    <w:rsid w:val="00FD2FF2"/>
    <w:rsid w:val="00FD3539"/>
    <w:rsid w:val="00FD525A"/>
    <w:rsid w:val="00FD70B0"/>
    <w:rsid w:val="00FD70BF"/>
    <w:rsid w:val="00FE0C12"/>
    <w:rsid w:val="00F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20">
    <w:name w:val="Знак2 Знак"/>
    <w:basedOn w:val="a"/>
    <w:next w:val="a"/>
    <w:rsid w:val="00C034C0"/>
    <w:pPr>
      <w:spacing w:after="160" w:line="240" w:lineRule="exact"/>
    </w:pPr>
    <w:rPr>
      <w:rFonts w:ascii="Tahoma" w:hAnsi="Tahoma"/>
      <w:szCs w:val="20"/>
      <w:lang w:val="en-US" w:eastAsia="en-US"/>
    </w:rPr>
  </w:style>
  <w:style w:type="character" w:customStyle="1" w:styleId="aa">
    <w:name w:val="Основной текст_"/>
    <w:basedOn w:val="a0"/>
    <w:link w:val="1"/>
    <w:rsid w:val="007A4C72"/>
    <w:rPr>
      <w:spacing w:val="-8"/>
      <w:sz w:val="26"/>
      <w:szCs w:val="26"/>
      <w:shd w:val="clear" w:color="auto" w:fill="FFFFFF"/>
    </w:rPr>
  </w:style>
  <w:style w:type="character" w:customStyle="1" w:styleId="115pt0pt">
    <w:name w:val="Основной текст + 11;5 pt;Интервал 0 pt"/>
    <w:basedOn w:val="aa"/>
    <w:rsid w:val="007A4C72"/>
    <w:rPr>
      <w:color w:val="000000"/>
      <w:spacing w:val="-9"/>
      <w:w w:val="100"/>
      <w:position w:val="0"/>
      <w:sz w:val="23"/>
      <w:szCs w:val="23"/>
      <w:shd w:val="clear" w:color="auto" w:fill="FFFFFF"/>
      <w:lang w:val="ru-RU" w:eastAsia="ru-RU" w:bidi="ru-RU"/>
    </w:rPr>
  </w:style>
  <w:style w:type="character" w:customStyle="1" w:styleId="10pt0pt">
    <w:name w:val="Основной текст + 10 pt;Интервал 0 pt"/>
    <w:basedOn w:val="aa"/>
    <w:rsid w:val="007A4C72"/>
    <w:rPr>
      <w:color w:val="000000"/>
      <w:spacing w:val="-2"/>
      <w:w w:val="100"/>
      <w:position w:val="0"/>
      <w:sz w:val="20"/>
      <w:szCs w:val="20"/>
      <w:shd w:val="clear" w:color="auto" w:fill="FFFFFF"/>
      <w:lang w:val="ru-RU" w:eastAsia="ru-RU" w:bidi="ru-RU"/>
    </w:rPr>
  </w:style>
  <w:style w:type="character" w:customStyle="1" w:styleId="CordiaUPC19pt0pt">
    <w:name w:val="Основной текст + CordiaUPC;19 pt;Полужирный;Интервал 0 pt"/>
    <w:basedOn w:val="aa"/>
    <w:rsid w:val="007A4C72"/>
    <w:rPr>
      <w:rFonts w:ascii="CordiaUPC" w:eastAsia="CordiaUPC" w:hAnsi="CordiaUPC" w:cs="CordiaUPC"/>
      <w:b/>
      <w:bCs/>
      <w:color w:val="000000"/>
      <w:spacing w:val="0"/>
      <w:w w:val="100"/>
      <w:position w:val="0"/>
      <w:sz w:val="38"/>
      <w:szCs w:val="38"/>
      <w:shd w:val="clear" w:color="auto" w:fill="FFFFFF"/>
      <w:lang w:val="ru-RU" w:eastAsia="ru-RU" w:bidi="ru-RU"/>
    </w:rPr>
  </w:style>
  <w:style w:type="character" w:customStyle="1" w:styleId="CordiaUPC26pt0pt">
    <w:name w:val="Основной текст + CordiaUPC;26 pt;Интервал 0 pt"/>
    <w:basedOn w:val="aa"/>
    <w:rsid w:val="007A4C72"/>
    <w:rPr>
      <w:rFonts w:ascii="CordiaUPC" w:eastAsia="CordiaUPC" w:hAnsi="CordiaUPC" w:cs="CordiaUPC"/>
      <w:color w:val="000000"/>
      <w:spacing w:val="0"/>
      <w:w w:val="100"/>
      <w:position w:val="0"/>
      <w:sz w:val="52"/>
      <w:szCs w:val="52"/>
      <w:shd w:val="clear" w:color="auto" w:fill="FFFFFF"/>
      <w:lang w:val="ru-RU" w:eastAsia="ru-RU" w:bidi="ru-RU"/>
    </w:rPr>
  </w:style>
  <w:style w:type="paragraph" w:customStyle="1" w:styleId="1">
    <w:name w:val="Основной текст1"/>
    <w:basedOn w:val="a"/>
    <w:link w:val="aa"/>
    <w:rsid w:val="007A4C72"/>
    <w:pPr>
      <w:widowControl w:val="0"/>
      <w:shd w:val="clear" w:color="auto" w:fill="FFFFFF"/>
      <w:spacing w:after="540" w:line="0" w:lineRule="atLeast"/>
    </w:pPr>
    <w:rPr>
      <w:spacing w:val="-8"/>
      <w:sz w:val="26"/>
      <w:szCs w:val="26"/>
    </w:rPr>
  </w:style>
  <w:style w:type="character" w:customStyle="1" w:styleId="16pt-1pt">
    <w:name w:val="Основной текст + 16 pt;Полужирный;Интервал -1 pt"/>
    <w:basedOn w:val="aa"/>
    <w:rsid w:val="007A4C72"/>
    <w:rPr>
      <w:rFonts w:ascii="Times New Roman" w:eastAsia="Times New Roman" w:hAnsi="Times New Roman" w:cs="Times New Roman"/>
      <w:b/>
      <w:bCs/>
      <w:i w:val="0"/>
      <w:iCs w:val="0"/>
      <w:smallCaps w:val="0"/>
      <w:strike w:val="0"/>
      <w:color w:val="000000"/>
      <w:spacing w:val="-24"/>
      <w:w w:val="100"/>
      <w:position w:val="0"/>
      <w:sz w:val="32"/>
      <w:szCs w:val="32"/>
      <w:u w:val="none"/>
      <w:shd w:val="clear" w:color="auto" w:fill="FFFFFF"/>
      <w:lang w:val="ru-RU" w:eastAsia="ru-RU" w:bidi="ru-RU"/>
    </w:rPr>
  </w:style>
  <w:style w:type="character" w:customStyle="1" w:styleId="ab">
    <w:name w:val="Колонтитул_"/>
    <w:basedOn w:val="a0"/>
    <w:link w:val="ac"/>
    <w:rsid w:val="009E4F77"/>
    <w:rPr>
      <w:rFonts w:ascii="Garamond" w:eastAsia="Garamond" w:hAnsi="Garamond" w:cs="Garamond"/>
      <w:shd w:val="clear" w:color="auto" w:fill="FFFFFF"/>
    </w:rPr>
  </w:style>
  <w:style w:type="paragraph" w:customStyle="1" w:styleId="ac">
    <w:name w:val="Колонтитул"/>
    <w:basedOn w:val="a"/>
    <w:link w:val="ab"/>
    <w:rsid w:val="009E4F77"/>
    <w:pPr>
      <w:widowControl w:val="0"/>
      <w:shd w:val="clear" w:color="auto" w:fill="FFFFFF"/>
      <w:spacing w:line="0" w:lineRule="atLeast"/>
    </w:pPr>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1</cp:lastModifiedBy>
  <cp:revision>65</cp:revision>
  <cp:lastPrinted>2016-07-18T12:07:00Z</cp:lastPrinted>
  <dcterms:created xsi:type="dcterms:W3CDTF">2016-03-09T08:07:00Z</dcterms:created>
  <dcterms:modified xsi:type="dcterms:W3CDTF">2016-07-18T12:52:00Z</dcterms:modified>
</cp:coreProperties>
</file>